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6ddd07612445d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52428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Krijesnica Gorjani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163.686,83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179.568,66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177.946,60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184.653,70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14.259,77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5.085,04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99,99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14.359,76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5.085,04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35,4</w:t>
            </w:r>
          </w:p>
        </w:tc>
      </w:tr>
    </w:tbl>
    <w:p>
      <w:pPr>
        <w:spacing w:before="0" w:after="0"/>
      </w:pPr>
    </w:p>
    <w:p>
      <w:r>
        <w:t xml:space="preserve">Manjak prihoda poslovanja nastao je zbog odluke da se cijene usluga ne povisiju, a planira se nadoknaditi povećanjem cijena za novu pedagošku godinu.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60.521,52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55.935,01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92,4</w:t>
            </w:r>
          </w:p>
        </w:tc>
      </w:tr>
    </w:tbl>
    <w:p>
      <w:pPr>
        <w:spacing w:before="0" w:after="0"/>
      </w:pPr>
    </w:p>
    <w:p>
      <w:r>
        <w:t xml:space="preserve">Prihodi od upravnih i administrativnih pristojbi, pristojbi po posebnim propisima i naknada u iznosu 55.935,01 eura  odnose se na sufinanciranja roditelja dječjem vrtiću, prihodi su manji u odnosu na prethodno razbolje zbog manjeg broja polaznika.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103.165,31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123.633,65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119,8</w:t>
            </w:r>
          </w:p>
        </w:tc>
      </w:tr>
    </w:tbl>
    <w:p>
      <w:pPr>
        <w:spacing w:before="0" w:after="0"/>
      </w:pPr>
    </w:p>
    <w:p>
      <w:r>
        <w:t xml:space="preserve">Prihodi iz nadležnog proračuna i od HZZO-a na temelju ugovornih obveza odnose se na prijenose sredstava nadležnog proračuna (Općina Gorjani), za tekuće financiranje redovne djelatnosti vrtića ukupno 123.633,65 eur, te su u odnosu na prethodno razdoblje prihodi veći iz razloga što je povećano sufinanciranje od strane nadležnog proračuna.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143.201,13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148.672,20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103,8</w:t>
            </w:r>
          </w:p>
        </w:tc>
      </w:tr>
    </w:tbl>
    <w:p>
      <w:pPr>
        <w:spacing w:before="0" w:after="0"/>
      </w:pPr>
    </w:p>
    <w:p>
      <w:r>
        <w:t xml:space="preserve">Rashodi za zaposlene veći su u odnosu na prethodno izvještajno razdoblje zbog porasta plaća djelatnika  u skladu sa zakonskim obvezama.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34.300,68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35.817,39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104,4</w:t>
            </w:r>
          </w:p>
        </w:tc>
      </w:tr>
    </w:tbl>
    <w:p>
      <w:pPr>
        <w:spacing w:before="0" w:after="0"/>
      </w:pPr>
    </w:p>
    <w:p>
      <w:r>
        <w:t xml:space="preserve">Materijalni rashodi  veći su u odnosu na isto razdoblje prethodne godine prvenstveno kao rezultat povećanja cijena dobavljača.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444,79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164,11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36,9</w:t>
            </w:r>
          </w:p>
        </w:tc>
      </w:tr>
    </w:tbl>
    <w:p>
      <w:pPr>
        <w:spacing w:before="0" w:after="0"/>
      </w:pPr>
    </w:p>
    <w:p>
      <w:r>
        <w:t xml:space="preserve">Smanjenje financijskih rashoda rezultat je ulaska u riznicu.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bb42dc2b2a4d72" /></Relationships>
</file>