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d7b254cfa476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52428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Krijesnica Gorjani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226.536,92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217.112,19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218.938,92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238.808,55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21.696,36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21.796,35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- ostvaren u ovom izvještajnom razdoblju u iznosu od 21.796,35 eura odnosi se na plaće djelatnika dječjeg vrtića za prosinac 2025. g. u iznosu od 15.973,99 koje proračunski korisnik očekuje novac od nadležnog proračuna u 2026. godini. Manjak prihoda za posebne namjene u iznosu od 5.722,37 eura očekuje se naplatiti od korisnika usluga dječjeg vrtića u siječnju 2026.g. Manjak prihoda od nefinancijske imovine u iznosu od 99,99 eura nadoknaditi će se iz prenesenog viška iz 2024.g. kao i dio gore navedenog manjka. Ukupan manjak prihoda pokrit će se u siječnju 2026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87.723,72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82.499,63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94,0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 u iznosu 82.499,63 eura  odnose se na sufinanciranja roditelja dječjem vrtiću, prihodi su manji u odnosu na prethodno razbolje zbog manjeg broja polaznika.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138.813,20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134.612,56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97,0</w:t>
            </w:r>
          </w:p>
        </w:tc>
      </w:tr>
    </w:tbl>
    <w:p>
      <w:pPr>
        <w:spacing w:before="0" w:after="0"/>
      </w:pPr>
    </w:p>
    <w:p>
      <w:r>
        <w:t xml:space="preserve">Prihodi iz nadležnog proračuna i od HZZO-a na temelju ugovornih obveza odnose se na prijenose sredstava nadležnog proračuna (Općina Gorjani), za tekuće financiranje redovne djelatnosti vrtića, a od ukupnih 134.612,56 eur, 95.315,00 eura odnosi se na sredstva fiskalne održivosti dječjih vrtića.  U odnosu na prethodno razdoblje prihodi su neznatno manji iz razloga što je umanjeno sufinanciranje od strane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163.851,17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189.023,20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r>
        <w:t xml:space="preserve">Rashodi za zaposlene veći su u odnosu na prethodno izvještajno razdoblje zbog porasta plaća djelatnika za cca 16%, u skladu sa zakonskim obvezama.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54.567,12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49.136,12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</w:t>
            </w:r>
          </w:p>
        </w:tc>
      </w:tr>
    </w:tbl>
    <w:p>
      <w:pPr>
        <w:spacing w:before="0" w:after="0"/>
      </w:pPr>
    </w:p>
    <w:p>
      <w:r>
        <w:t xml:space="preserve">Materijalni rashodi  manji su u odnosu na isto razdoblje prethodne godine za cca 9% koji se prvenstveno odnose na smanjenje troškova naknada za zaposlene, troškovi sitnog inventara, usluge tekućeg i investicijskog održavanja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r>
        <w:t xml:space="preserve">Neznatno povećanje financijskih rashoda rezultat je poskupljenja bankarskih usluga i usluga platnog prometa za cca 24%.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nabavu nefinancijske imovine ostvareni u iznosu od 99,99 eura a odnosi se na nabavu stroja za čišćenje.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687,05 eura, a odnosi se na račune koji su poslani od strane dobavljača prekasno, isti su plaćeni u siječnju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6197ee3e54f3a" /></Relationships>
</file>